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C35A02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161868">
        <w:rPr>
          <w:rFonts w:ascii="Cambria" w:hAnsi="Cambria" w:cs="Cambria"/>
          <w:b/>
          <w:bCs/>
          <w:sz w:val="22"/>
          <w:szCs w:val="22"/>
          <w:lang w:val="en-US"/>
        </w:rPr>
        <w:t>4</w:t>
      </w:r>
      <w:r w:rsidR="00161868" w:rsidRPr="00161868">
        <w:rPr>
          <w:rFonts w:ascii="Cambria" w:hAnsi="Cambria" w:cs="Cambria"/>
          <w:b/>
          <w:bCs/>
          <w:sz w:val="22"/>
          <w:szCs w:val="22"/>
          <w:vertAlign w:val="superscript"/>
          <w:lang w:val="en-US"/>
        </w:rPr>
        <w:t>th</w:t>
      </w:r>
      <w:r w:rsidR="00161868">
        <w:rPr>
          <w:rFonts w:ascii="Cambria" w:hAnsi="Cambria" w:cs="Cambria"/>
          <w:b/>
          <w:bCs/>
          <w:sz w:val="22"/>
          <w:szCs w:val="22"/>
          <w:lang w:val="en-US"/>
        </w:rPr>
        <w:t xml:space="preserve"> December 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08457FC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161868">
        <w:rPr>
          <w:rFonts w:ascii="Cambria" w:hAnsi="Cambria" w:cs="Cambria"/>
          <w:b/>
          <w:bCs/>
          <w:sz w:val="22"/>
          <w:szCs w:val="22"/>
          <w:lang w:val="en-US"/>
        </w:rPr>
        <w:t>Amelia Shoemark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10B0EA73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28314822" w:rsidR="009E5D32" w:rsidRDefault="00161868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AstraZeneca, 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Lifearc</w:t>
      </w:r>
      <w:proofErr w:type="spellEnd"/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57D6A311" w:rsidR="009E5D32" w:rsidRDefault="00161868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Insmed</w:t>
      </w:r>
      <w:proofErr w:type="spellEnd"/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7B5AC518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750DB5" w14:textId="088B5DBF" w:rsidR="00161868" w:rsidRDefault="00161868" w:rsidP="009E5D32">
      <w:pPr>
        <w:pStyle w:val="Default"/>
        <w:rPr>
          <w:rFonts w:asciiTheme="majorHAnsi" w:hAnsiTheme="majorHAnsi" w:cstheme="majorHAnsi"/>
          <w:szCs w:val="22"/>
          <w:lang w:val="en-GB"/>
        </w:rPr>
      </w:pPr>
      <w:r>
        <w:rPr>
          <w:rFonts w:asciiTheme="majorHAnsi" w:hAnsiTheme="majorHAnsi" w:cstheme="majorHAnsi"/>
          <w:szCs w:val="22"/>
          <w:lang w:val="en-GB"/>
        </w:rPr>
        <w:t>O</w:t>
      </w:r>
      <w:r>
        <w:rPr>
          <w:rFonts w:asciiTheme="majorHAnsi" w:hAnsiTheme="majorHAnsi" w:cstheme="majorHAnsi"/>
          <w:szCs w:val="22"/>
          <w:lang w:val="en-GB"/>
        </w:rPr>
        <w:t xml:space="preserve">rganising chair of conferences supported by Recode, </w:t>
      </w:r>
      <w:proofErr w:type="spellStart"/>
      <w:r>
        <w:rPr>
          <w:rFonts w:asciiTheme="majorHAnsi" w:hAnsiTheme="majorHAnsi" w:cstheme="majorHAnsi"/>
          <w:szCs w:val="22"/>
          <w:lang w:val="en-GB"/>
        </w:rPr>
        <w:t>Ethris</w:t>
      </w:r>
      <w:proofErr w:type="spellEnd"/>
      <w:r>
        <w:rPr>
          <w:rFonts w:asciiTheme="majorHAnsi" w:hAnsiTheme="majorHAnsi" w:cstheme="majorHAnsi"/>
          <w:szCs w:val="22"/>
          <w:lang w:val="en-GB"/>
        </w:rPr>
        <w:t xml:space="preserve"> and </w:t>
      </w:r>
      <w:proofErr w:type="spellStart"/>
      <w:r>
        <w:rPr>
          <w:rFonts w:asciiTheme="majorHAnsi" w:hAnsiTheme="majorHAnsi" w:cstheme="majorHAnsi"/>
          <w:szCs w:val="22"/>
          <w:lang w:val="en-GB"/>
        </w:rPr>
        <w:t>Insmed</w:t>
      </w:r>
      <w:proofErr w:type="spellEnd"/>
    </w:p>
    <w:p w14:paraId="1677AA36" w14:textId="77777777" w:rsidR="00161868" w:rsidRPr="009E5D32" w:rsidRDefault="00161868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461A4AB2" w:rsidR="00864C2D" w:rsidRPr="00161868" w:rsidRDefault="00161868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proofErr w:type="spellStart"/>
      <w:r w:rsidRPr="00161868">
        <w:rPr>
          <w:rFonts w:ascii="Cambria" w:hAnsi="Cambria" w:cs="Cambria"/>
          <w:sz w:val="22"/>
          <w:szCs w:val="22"/>
          <w:lang w:val="en-US"/>
        </w:rPr>
        <w:t>ReCode</w:t>
      </w:r>
      <w:proofErr w:type="spellEnd"/>
      <w:r w:rsidRPr="00161868">
        <w:rPr>
          <w:rFonts w:ascii="Cambria" w:hAnsi="Cambria" w:cs="Cambria"/>
          <w:sz w:val="22"/>
          <w:szCs w:val="22"/>
          <w:lang w:val="en-US"/>
        </w:rPr>
        <w:t xml:space="preserve"> Scientific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5838434C" w:rsidR="009E5D32" w:rsidRDefault="00161868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None</w:t>
      </w: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6E7B7249" w14:textId="422269B3" w:rsidR="009E5D32" w:rsidRDefault="00161868" w:rsidP="009E5D32">
      <w:pPr>
        <w:pStyle w:val="Default"/>
        <w:rPr>
          <w:rFonts w:asciiTheme="majorHAnsi" w:hAnsiTheme="majorHAnsi" w:cstheme="majorHAnsi"/>
          <w:szCs w:val="22"/>
          <w:lang w:val="en-GB"/>
        </w:rPr>
      </w:pPr>
      <w:r w:rsidRPr="00B65B92">
        <w:rPr>
          <w:rFonts w:asciiTheme="majorHAnsi" w:hAnsiTheme="majorHAnsi" w:cstheme="majorHAnsi"/>
          <w:szCs w:val="22"/>
          <w:lang w:val="en-GB"/>
        </w:rPr>
        <w:t>EMBARC is supported by project partners Armata, AstraZeneca, Boehringer Ingelheim, Chiesi, CSL Behring, Grifols, </w:t>
      </w:r>
      <w:proofErr w:type="spellStart"/>
      <w:r w:rsidRPr="00B65B92">
        <w:rPr>
          <w:rFonts w:asciiTheme="majorHAnsi" w:hAnsiTheme="majorHAnsi" w:cstheme="majorHAnsi"/>
          <w:szCs w:val="22"/>
          <w:lang w:val="en-GB"/>
        </w:rPr>
        <w:t>Insmed</w:t>
      </w:r>
      <w:proofErr w:type="spellEnd"/>
      <w:r w:rsidRPr="00B65B92">
        <w:rPr>
          <w:rFonts w:asciiTheme="majorHAnsi" w:hAnsiTheme="majorHAnsi" w:cstheme="majorHAnsi"/>
          <w:szCs w:val="22"/>
          <w:lang w:val="en-GB"/>
        </w:rPr>
        <w:t>, Janssen, </w:t>
      </w:r>
      <w:proofErr w:type="spellStart"/>
      <w:r w:rsidRPr="00B65B92">
        <w:rPr>
          <w:rFonts w:asciiTheme="majorHAnsi" w:hAnsiTheme="majorHAnsi" w:cstheme="majorHAnsi"/>
          <w:szCs w:val="22"/>
          <w:lang w:val="en-GB"/>
        </w:rPr>
        <w:t>Lifearc</w:t>
      </w:r>
      <w:proofErr w:type="spellEnd"/>
      <w:r w:rsidRPr="00B65B92">
        <w:rPr>
          <w:rFonts w:asciiTheme="majorHAnsi" w:hAnsiTheme="majorHAnsi" w:cstheme="majorHAnsi"/>
          <w:szCs w:val="22"/>
          <w:lang w:val="en-GB"/>
        </w:rPr>
        <w:t>, Novartis, and Zambon.​</w:t>
      </w:r>
    </w:p>
    <w:p w14:paraId="4997E189" w14:textId="66ADF17C" w:rsidR="00161868" w:rsidRDefault="00161868" w:rsidP="009E5D32">
      <w:pPr>
        <w:pStyle w:val="Default"/>
        <w:rPr>
          <w:rFonts w:asciiTheme="majorHAnsi" w:hAnsiTheme="majorHAnsi" w:cstheme="majorHAnsi"/>
          <w:szCs w:val="22"/>
          <w:lang w:val="en-GB"/>
        </w:rPr>
      </w:pPr>
    </w:p>
    <w:p w14:paraId="3C84F1BB" w14:textId="77777777" w:rsidR="00161868" w:rsidRPr="009E5D32" w:rsidRDefault="00161868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5CE75E3C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 w:rsidR="00161868">
        <w:rPr>
          <w:rFonts w:ascii="Cambria" w:hAnsi="Cambria" w:cs="Cambria"/>
          <w:b/>
          <w:bCs/>
          <w:noProof/>
        </w:rPr>
        <w:drawing>
          <wp:inline distT="0" distB="0" distL="0" distR="0" wp14:anchorId="577DF908" wp14:editId="109A99C3">
            <wp:extent cx="1841074" cy="306846"/>
            <wp:effectExtent l="0" t="0" r="6985" b="0"/>
            <wp:docPr id="21082779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7796" name="Picture 1" descr="A white background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74" cy="30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161868">
        <w:rPr>
          <w:rFonts w:ascii="Cambria" w:hAnsi="Cambria" w:cs="Cambria"/>
          <w:b/>
          <w:bCs/>
        </w:rPr>
        <w:t>4/12/24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44466"/>
    <w:rsid w:val="00151665"/>
    <w:rsid w:val="00161868"/>
    <w:rsid w:val="00197014"/>
    <w:rsid w:val="001C367E"/>
    <w:rsid w:val="002E60BF"/>
    <w:rsid w:val="00624708"/>
    <w:rsid w:val="006E25CD"/>
    <w:rsid w:val="00724535"/>
    <w:rsid w:val="00864C2D"/>
    <w:rsid w:val="008746BA"/>
    <w:rsid w:val="008B70EC"/>
    <w:rsid w:val="009E5D32"/>
    <w:rsid w:val="00A77DD7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Amelia Shoemark (Staff)</cp:lastModifiedBy>
  <cp:revision>2</cp:revision>
  <dcterms:created xsi:type="dcterms:W3CDTF">2024-12-04T12:40:00Z</dcterms:created>
  <dcterms:modified xsi:type="dcterms:W3CDTF">2024-12-04T12:40:00Z</dcterms:modified>
</cp:coreProperties>
</file>